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108F" w14:textId="77777777" w:rsidR="002615DA" w:rsidRPr="002615DA" w:rsidRDefault="002615DA" w:rsidP="002615DA">
      <w:pPr>
        <w:jc w:val="center"/>
        <w:rPr>
          <w:rFonts w:cs="Arial"/>
          <w:b/>
          <w:bCs/>
          <w:sz w:val="40"/>
          <w:szCs w:val="40"/>
          <w:rtl/>
        </w:rPr>
      </w:pPr>
      <w:r w:rsidRPr="002615DA">
        <w:rPr>
          <w:rFonts w:cs="Arial" w:hint="cs"/>
          <w:b/>
          <w:bCs/>
          <w:sz w:val="40"/>
          <w:szCs w:val="40"/>
          <w:rtl/>
        </w:rPr>
        <w:t>تعميم الملاءة المالية لسنة 2009</w:t>
      </w:r>
    </w:p>
    <w:p w14:paraId="7A8BF60A" w14:textId="480A5347" w:rsidR="002615DA" w:rsidRPr="002615DA" w:rsidRDefault="002615DA" w:rsidP="002615DA">
      <w:pPr>
        <w:rPr>
          <w:sz w:val="40"/>
          <w:szCs w:val="40"/>
          <w:rtl/>
        </w:rPr>
      </w:pPr>
      <w:r w:rsidRPr="002615DA">
        <w:rPr>
          <w:rFonts w:cs="Arial"/>
          <w:sz w:val="40"/>
          <w:szCs w:val="40"/>
          <w:rtl/>
        </w:rPr>
        <w:t>انطلاقاً من سياسة هيئة الأوراق المالية في مواصلة التطوير وتجذير الإفصاح وتعزيز الثقة بالشركات الوطنية مساهمة بذلك في هدف حماية المتعاملين بالأوراق المالية وحصول الهيئة على معلومات الملاءة المالية بطريقة الكترونية وتسهيل آلية معالجته</w:t>
      </w:r>
      <w:r>
        <w:rPr>
          <w:rFonts w:cs="Arial" w:hint="cs"/>
          <w:sz w:val="40"/>
          <w:szCs w:val="40"/>
          <w:rtl/>
        </w:rPr>
        <w:t>ا</w:t>
      </w:r>
      <w:r w:rsidRPr="002615DA">
        <w:rPr>
          <w:rFonts w:cs="Arial"/>
          <w:sz w:val="40"/>
          <w:szCs w:val="40"/>
          <w:rtl/>
        </w:rPr>
        <w:t>، وفي ضوء استكمال شركات الوساطة المالية تجهيز الأنظمة المحاسبية بحيث تصبح قادرة على إصدار الملاءة المالية على شكل جداول الكترونية وضمن مواصفات محددة، واستناداً لأحكام المواد (</w:t>
      </w:r>
      <w:r>
        <w:rPr>
          <w:rFonts w:cs="Arial" w:hint="cs"/>
          <w:sz w:val="40"/>
          <w:szCs w:val="40"/>
          <w:rtl/>
          <w:lang w:bidi="fa-IR"/>
        </w:rPr>
        <w:t>8</w:t>
      </w:r>
      <w:r w:rsidRPr="002615DA">
        <w:rPr>
          <w:rFonts w:cs="Arial"/>
          <w:sz w:val="40"/>
          <w:szCs w:val="40"/>
          <w:rtl/>
        </w:rPr>
        <w:t xml:space="preserve">، </w:t>
      </w:r>
      <w:r>
        <w:rPr>
          <w:rFonts w:cs="Arial" w:hint="cs"/>
          <w:sz w:val="40"/>
          <w:szCs w:val="40"/>
          <w:rtl/>
          <w:lang w:bidi="fa-IR"/>
        </w:rPr>
        <w:t>12</w:t>
      </w:r>
      <w:r w:rsidRPr="002615DA">
        <w:rPr>
          <w:rFonts w:cs="Arial"/>
          <w:sz w:val="40"/>
          <w:szCs w:val="40"/>
          <w:rtl/>
        </w:rPr>
        <w:t xml:space="preserve">، </w:t>
      </w:r>
      <w:r>
        <w:rPr>
          <w:rFonts w:cs="Arial" w:hint="cs"/>
          <w:sz w:val="40"/>
          <w:szCs w:val="40"/>
          <w:rtl/>
        </w:rPr>
        <w:t>54</w:t>
      </w:r>
      <w:r w:rsidRPr="002615DA">
        <w:rPr>
          <w:rFonts w:cs="Arial"/>
          <w:sz w:val="40"/>
          <w:szCs w:val="40"/>
          <w:rtl/>
        </w:rPr>
        <w:t>) من قانون الأوراق المالية رقم (</w:t>
      </w:r>
      <w:r>
        <w:rPr>
          <w:rFonts w:cs="Arial" w:hint="cs"/>
          <w:sz w:val="40"/>
          <w:szCs w:val="40"/>
          <w:rtl/>
          <w:lang w:bidi="fa-IR"/>
        </w:rPr>
        <w:t>76</w:t>
      </w:r>
      <w:r w:rsidRPr="002615DA">
        <w:rPr>
          <w:rFonts w:cs="Arial"/>
          <w:sz w:val="40"/>
          <w:szCs w:val="40"/>
          <w:rtl/>
          <w:lang w:bidi="fa-IR"/>
        </w:rPr>
        <w:t xml:space="preserve">) </w:t>
      </w:r>
      <w:r w:rsidRPr="002615DA">
        <w:rPr>
          <w:rFonts w:cs="Arial"/>
          <w:sz w:val="40"/>
          <w:szCs w:val="40"/>
          <w:rtl/>
        </w:rPr>
        <w:t xml:space="preserve">لسنة </w:t>
      </w:r>
      <w:r>
        <w:rPr>
          <w:rFonts w:cs="Arial" w:hint="cs"/>
          <w:sz w:val="40"/>
          <w:szCs w:val="40"/>
          <w:rtl/>
          <w:lang w:bidi="fa-IR"/>
        </w:rPr>
        <w:t>2002</w:t>
      </w:r>
      <w:r w:rsidRPr="002615DA">
        <w:rPr>
          <w:rFonts w:cs="Arial"/>
          <w:sz w:val="40"/>
          <w:szCs w:val="40"/>
          <w:rtl/>
        </w:rPr>
        <w:t>، فإن هيئة الأوراق المالية ترى الالتزام بما يلي يمثل ارتقاء وتطويراً لأساليب التزويد بالمعلومات كما يمثل التزاماً على الشركات لتحقيق ذلك:</w:t>
      </w:r>
    </w:p>
    <w:p w14:paraId="666AC51B" w14:textId="074F044B" w:rsidR="002615DA" w:rsidRPr="002615DA" w:rsidRDefault="002615DA" w:rsidP="002615DA">
      <w:pPr>
        <w:rPr>
          <w:sz w:val="40"/>
          <w:szCs w:val="40"/>
          <w:rtl/>
        </w:rPr>
      </w:pPr>
      <w:r w:rsidRPr="002615DA">
        <w:rPr>
          <w:rFonts w:cs="Arial"/>
          <w:sz w:val="40"/>
          <w:szCs w:val="40"/>
          <w:rtl/>
        </w:rPr>
        <w:t>أولاً: تزويد الهيئة أسبوعياً بالملف الالكتروني للملاءة المالية وضمن المواصفات المحددة في الملحق رقم (</w:t>
      </w:r>
      <w:r>
        <w:rPr>
          <w:rFonts w:cs="Arial" w:hint="cs"/>
          <w:sz w:val="40"/>
          <w:szCs w:val="40"/>
          <w:rtl/>
          <w:lang w:bidi="fa-IR"/>
        </w:rPr>
        <w:t>1</w:t>
      </w:r>
      <w:r w:rsidRPr="002615DA">
        <w:rPr>
          <w:rFonts w:cs="Arial"/>
          <w:sz w:val="40"/>
          <w:szCs w:val="40"/>
          <w:rtl/>
          <w:lang w:bidi="fa-IR"/>
        </w:rPr>
        <w:t xml:space="preserve">) </w:t>
      </w:r>
      <w:r w:rsidRPr="002615DA">
        <w:rPr>
          <w:rFonts w:cs="Arial"/>
          <w:sz w:val="40"/>
          <w:szCs w:val="40"/>
          <w:rtl/>
        </w:rPr>
        <w:t xml:space="preserve">وفي موعد أقصاه أول يوم عمل من الأسبوع التالي وذلك عن  تحميلها على أجهزة الخادم الرئيسي الخاص بها في الهيئة وحسب الآلية الموضحة </w:t>
      </w:r>
      <w:r>
        <w:rPr>
          <w:rFonts w:cs="Arial" w:hint="cs"/>
          <w:sz w:val="40"/>
          <w:szCs w:val="40"/>
          <w:rtl/>
        </w:rPr>
        <w:t xml:space="preserve">في </w:t>
      </w:r>
      <w:r w:rsidRPr="002615DA">
        <w:rPr>
          <w:rFonts w:cs="Arial"/>
          <w:sz w:val="40"/>
          <w:szCs w:val="40"/>
          <w:rtl/>
        </w:rPr>
        <w:t>الملحق رقم (</w:t>
      </w:r>
      <w:r>
        <w:rPr>
          <w:rFonts w:cs="Arial" w:hint="cs"/>
          <w:sz w:val="40"/>
          <w:szCs w:val="40"/>
          <w:rtl/>
          <w:lang w:bidi="fa-IR"/>
        </w:rPr>
        <w:t>2</w:t>
      </w:r>
      <w:r w:rsidRPr="002615DA">
        <w:rPr>
          <w:rFonts w:cs="Arial"/>
          <w:sz w:val="40"/>
          <w:szCs w:val="40"/>
          <w:rtl/>
          <w:lang w:bidi="fa-IR"/>
        </w:rPr>
        <w:t>).</w:t>
      </w:r>
    </w:p>
    <w:p w14:paraId="2918972B" w14:textId="77777777" w:rsidR="002615DA" w:rsidRPr="002615DA" w:rsidRDefault="002615DA" w:rsidP="002615DA">
      <w:pPr>
        <w:rPr>
          <w:sz w:val="40"/>
          <w:szCs w:val="40"/>
          <w:rtl/>
        </w:rPr>
      </w:pPr>
      <w:r w:rsidRPr="002615DA">
        <w:rPr>
          <w:rFonts w:cs="Arial"/>
          <w:sz w:val="40"/>
          <w:szCs w:val="40"/>
          <w:rtl/>
        </w:rPr>
        <w:t>ثانياً: الاحتفاظ وبشكل مستمر وآمن بنسخ احتياطية من الملف الالكتروني للملاءة المالية والذي يتم تزويد الهيئة به.</w:t>
      </w:r>
    </w:p>
    <w:p w14:paraId="0A47FEF8" w14:textId="27485892" w:rsidR="002615DA" w:rsidRPr="002615DA" w:rsidRDefault="002615DA" w:rsidP="002615DA">
      <w:pPr>
        <w:rPr>
          <w:sz w:val="40"/>
          <w:szCs w:val="40"/>
          <w:rtl/>
          <w:lang w:bidi="fa-IR"/>
        </w:rPr>
      </w:pPr>
      <w:r w:rsidRPr="002615DA">
        <w:rPr>
          <w:rFonts w:cs="Arial"/>
          <w:sz w:val="40"/>
          <w:szCs w:val="40"/>
          <w:rtl/>
        </w:rPr>
        <w:t>ثالثاً: الاستمرار في إرسال النسخ الورقية من الملاءات المالية ووفق المعايير المتبعة إشعار آخر، على أن تلتزم شركة الوساطة بشكل الملاءة المالية المعتمد من قبل الهيئة وآلية احتساب بنودها والواردة بالملحق رقم (</w:t>
      </w:r>
      <w:r w:rsidR="00C85A74">
        <w:rPr>
          <w:rFonts w:cs="Arial" w:hint="cs"/>
          <w:sz w:val="40"/>
          <w:szCs w:val="40"/>
          <w:rtl/>
          <w:lang w:bidi="fa-IR"/>
        </w:rPr>
        <w:t>3</w:t>
      </w:r>
      <w:r w:rsidRPr="002615DA">
        <w:rPr>
          <w:rFonts w:cs="Arial"/>
          <w:sz w:val="40"/>
          <w:szCs w:val="40"/>
          <w:rtl/>
          <w:lang w:bidi="fa-IR"/>
        </w:rPr>
        <w:t>).</w:t>
      </w:r>
      <w:r w:rsidRPr="002615DA">
        <w:rPr>
          <w:sz w:val="40"/>
          <w:szCs w:val="40"/>
          <w:rtl/>
        </w:rPr>
        <w:br/>
        <w:t>رابعاً: تزويد الهيئة بالملف الالكتروني للملاءة المالية عند طلبها في أي يوم من أيام العمـــل الرسمي للشركة بعد التأكد من إنهاء جميع إدخالاته</w:t>
      </w:r>
      <w:r>
        <w:rPr>
          <w:rFonts w:hint="cs"/>
          <w:sz w:val="40"/>
          <w:szCs w:val="40"/>
          <w:rtl/>
        </w:rPr>
        <w:t xml:space="preserve"> </w:t>
      </w:r>
      <w:r w:rsidRPr="002615DA">
        <w:rPr>
          <w:sz w:val="40"/>
          <w:szCs w:val="40"/>
          <w:rtl/>
        </w:rPr>
        <w:t>وإغلاقه على أن يتم تصديرها</w:t>
      </w:r>
      <w:r>
        <w:rPr>
          <w:rFonts w:hint="cs"/>
          <w:sz w:val="40"/>
          <w:szCs w:val="40"/>
          <w:rtl/>
          <w:lang w:bidi="fa-IR"/>
        </w:rPr>
        <w:t xml:space="preserve"> </w:t>
      </w:r>
      <w:r w:rsidRPr="002615DA">
        <w:rPr>
          <w:sz w:val="40"/>
          <w:szCs w:val="40"/>
          <w:rtl/>
        </w:rPr>
        <w:t>وتحميلها بنفس أسلوب الملاءة الأسبوعية.</w:t>
      </w:r>
    </w:p>
    <w:p w14:paraId="070D2DC3" w14:textId="77777777" w:rsidR="002615DA" w:rsidRPr="002615DA" w:rsidRDefault="002615DA" w:rsidP="002615DA">
      <w:pPr>
        <w:rPr>
          <w:sz w:val="40"/>
          <w:szCs w:val="40"/>
          <w:rtl/>
        </w:rPr>
      </w:pPr>
      <w:r w:rsidRPr="002615DA">
        <w:rPr>
          <w:sz w:val="40"/>
          <w:szCs w:val="40"/>
          <w:rtl/>
        </w:rPr>
        <w:lastRenderedPageBreak/>
        <w:t>خامساً: يحظر على الشركة تحميل أي ملف آخر غير الملفات المطلوبة من قبل الهيئة.</w:t>
      </w:r>
    </w:p>
    <w:p w14:paraId="1FA15820" w14:textId="4063E8CA" w:rsidR="002615DA" w:rsidRPr="002615DA" w:rsidRDefault="002615DA" w:rsidP="002615DA">
      <w:pPr>
        <w:rPr>
          <w:sz w:val="40"/>
          <w:szCs w:val="40"/>
          <w:rtl/>
        </w:rPr>
      </w:pPr>
      <w:r w:rsidRPr="002615DA">
        <w:rPr>
          <w:sz w:val="40"/>
          <w:szCs w:val="40"/>
          <w:rtl/>
        </w:rPr>
        <w:t>سادساً: يكون المدير المالي في شركة الوساطة مسؤولاً عما يلي:</w:t>
      </w:r>
    </w:p>
    <w:p w14:paraId="0BBE85A4" w14:textId="77777777" w:rsidR="002615DA" w:rsidRPr="002615DA" w:rsidRDefault="002615DA" w:rsidP="002615DA">
      <w:pPr>
        <w:rPr>
          <w:sz w:val="40"/>
          <w:szCs w:val="40"/>
          <w:rtl/>
        </w:rPr>
      </w:pPr>
      <w:r w:rsidRPr="002615DA">
        <w:rPr>
          <w:sz w:val="40"/>
          <w:szCs w:val="40"/>
          <w:rtl/>
        </w:rPr>
        <w:t>- تصدير الملف الالكتروني للملاءة المالية.</w:t>
      </w:r>
    </w:p>
    <w:p w14:paraId="27199908" w14:textId="0247EBCD" w:rsidR="002615DA" w:rsidRPr="002615DA" w:rsidRDefault="002615DA" w:rsidP="002615DA">
      <w:pPr>
        <w:rPr>
          <w:sz w:val="40"/>
          <w:szCs w:val="40"/>
          <w:rtl/>
        </w:rPr>
      </w:pPr>
      <w:r w:rsidRPr="002615DA">
        <w:rPr>
          <w:sz w:val="40"/>
          <w:szCs w:val="40"/>
          <w:rtl/>
        </w:rPr>
        <w:t>- تحميل الملف الالكتروني للملاءة المالية من خلال شبكة سوق رأس المال على صفحة التحميل لنظام الملاءة المالية وكما هو موضح بالملحق رقم (</w:t>
      </w:r>
      <w:r w:rsidR="00C85A74">
        <w:rPr>
          <w:rFonts w:hint="cs"/>
          <w:sz w:val="40"/>
          <w:szCs w:val="40"/>
          <w:rtl/>
          <w:lang w:bidi="fa-IR"/>
        </w:rPr>
        <w:t>2</w:t>
      </w:r>
      <w:r w:rsidRPr="002615DA">
        <w:rPr>
          <w:sz w:val="40"/>
          <w:szCs w:val="40"/>
          <w:rtl/>
          <w:lang w:bidi="fa-IR"/>
        </w:rPr>
        <w:t>).</w:t>
      </w:r>
    </w:p>
    <w:p w14:paraId="1C108114" w14:textId="77777777" w:rsidR="002615DA" w:rsidRPr="002615DA" w:rsidRDefault="002615DA" w:rsidP="002615DA">
      <w:pPr>
        <w:rPr>
          <w:sz w:val="40"/>
          <w:szCs w:val="40"/>
          <w:rtl/>
        </w:rPr>
      </w:pPr>
      <w:r w:rsidRPr="002615DA">
        <w:rPr>
          <w:sz w:val="40"/>
          <w:szCs w:val="40"/>
          <w:rtl/>
        </w:rPr>
        <w:t>- ضمان سرية اسم المستخدم وكلمة المرور الخاصة بعملية تحميل الملاءة الآلية.</w:t>
      </w:r>
    </w:p>
    <w:p w14:paraId="4034A672" w14:textId="77777777" w:rsidR="002615DA" w:rsidRPr="002615DA" w:rsidRDefault="002615DA" w:rsidP="002615DA">
      <w:pPr>
        <w:rPr>
          <w:sz w:val="40"/>
          <w:szCs w:val="40"/>
          <w:rtl/>
        </w:rPr>
      </w:pPr>
      <w:r w:rsidRPr="002615DA">
        <w:rPr>
          <w:sz w:val="40"/>
          <w:szCs w:val="40"/>
          <w:rtl/>
        </w:rPr>
        <w:t>مع تحديد الشخص البديل واعلام الهيئة في حال حدوث أي تغيير على الأسماء المقترحة.</w:t>
      </w:r>
    </w:p>
    <w:p w14:paraId="075203EE" w14:textId="217831E0" w:rsidR="002615DA" w:rsidRPr="002615DA" w:rsidRDefault="002615DA" w:rsidP="00C85A74">
      <w:pPr>
        <w:rPr>
          <w:sz w:val="40"/>
          <w:szCs w:val="40"/>
          <w:rtl/>
        </w:rPr>
      </w:pPr>
      <w:r w:rsidRPr="002615DA">
        <w:rPr>
          <w:sz w:val="40"/>
          <w:szCs w:val="40"/>
          <w:rtl/>
        </w:rPr>
        <w:t>سابعاً: الالتزام بمتابعة البريد الالكتروني الرسمي لشركة ساطة والمعتمد لديها</w:t>
      </w:r>
      <w:r w:rsidR="00C85A74">
        <w:rPr>
          <w:rFonts w:hint="cs"/>
          <w:sz w:val="40"/>
          <w:szCs w:val="40"/>
          <w:rtl/>
        </w:rPr>
        <w:t xml:space="preserve"> </w:t>
      </w:r>
      <w:r w:rsidRPr="002615DA">
        <w:rPr>
          <w:sz w:val="40"/>
          <w:szCs w:val="40"/>
          <w:rtl/>
        </w:rPr>
        <w:t>للمراسلات الخاصة بالجهات الرسمية.</w:t>
      </w:r>
    </w:p>
    <w:p w14:paraId="3032039F" w14:textId="3D4CD99F" w:rsidR="002615DA" w:rsidRDefault="002615DA" w:rsidP="00C85A74">
      <w:pPr>
        <w:rPr>
          <w:sz w:val="40"/>
          <w:szCs w:val="40"/>
          <w:rtl/>
        </w:rPr>
      </w:pPr>
      <w:r w:rsidRPr="002615DA">
        <w:rPr>
          <w:sz w:val="40"/>
          <w:szCs w:val="40"/>
          <w:rtl/>
        </w:rPr>
        <w:t>ثامناً: على الشركة ممثلة بمجلس ادارتها أو هيئة المديرين والمدير العام وضابط الامتثال فيها اتخاذ جميع الإجراءات الكفيلة</w:t>
      </w:r>
      <w:r w:rsidR="00C85A74">
        <w:rPr>
          <w:rFonts w:hint="cs"/>
          <w:sz w:val="40"/>
          <w:szCs w:val="40"/>
          <w:rtl/>
        </w:rPr>
        <w:t xml:space="preserve"> </w:t>
      </w:r>
      <w:r w:rsidRPr="002615DA">
        <w:rPr>
          <w:sz w:val="40"/>
          <w:szCs w:val="40"/>
          <w:rtl/>
        </w:rPr>
        <w:t>لتحقيق دقة المعلومات التي يتم تزويد الهيئة بها وذل</w:t>
      </w:r>
      <w:r w:rsidR="00C85A74">
        <w:rPr>
          <w:rFonts w:hint="cs"/>
          <w:sz w:val="40"/>
          <w:szCs w:val="40"/>
          <w:rtl/>
        </w:rPr>
        <w:t>ك</w:t>
      </w:r>
      <w:r w:rsidRPr="002615DA">
        <w:rPr>
          <w:sz w:val="40"/>
          <w:szCs w:val="40"/>
          <w:rtl/>
        </w:rPr>
        <w:t xml:space="preserve"> انسجاماً مع أحكام المواد (</w:t>
      </w:r>
      <w:r w:rsidR="00C85A74">
        <w:rPr>
          <w:rFonts w:hint="cs"/>
          <w:sz w:val="40"/>
          <w:szCs w:val="40"/>
          <w:rtl/>
        </w:rPr>
        <w:t>66</w:t>
      </w:r>
      <w:r w:rsidRPr="002615DA">
        <w:rPr>
          <w:sz w:val="40"/>
          <w:szCs w:val="40"/>
          <w:rtl/>
        </w:rPr>
        <w:t>)، (</w:t>
      </w:r>
      <w:r w:rsidR="00C85A74">
        <w:rPr>
          <w:rFonts w:hint="cs"/>
          <w:sz w:val="40"/>
          <w:szCs w:val="40"/>
          <w:rtl/>
        </w:rPr>
        <w:t>67</w:t>
      </w:r>
      <w:r w:rsidRPr="002615DA">
        <w:rPr>
          <w:sz w:val="40"/>
          <w:szCs w:val="40"/>
          <w:rtl/>
        </w:rPr>
        <w:t>) من تعليمات الترخيص والاعتماد للخد</w:t>
      </w:r>
      <w:r w:rsidR="00C85A74">
        <w:rPr>
          <w:rFonts w:hint="cs"/>
          <w:sz w:val="40"/>
          <w:szCs w:val="40"/>
          <w:rtl/>
        </w:rPr>
        <w:t xml:space="preserve">مات </w:t>
      </w:r>
      <w:r w:rsidRPr="002615DA">
        <w:rPr>
          <w:sz w:val="40"/>
          <w:szCs w:val="40"/>
          <w:rtl/>
        </w:rPr>
        <w:t xml:space="preserve">المالية وتنظيمها لسنة </w:t>
      </w:r>
      <w:r w:rsidR="00C85A74">
        <w:rPr>
          <w:rFonts w:hint="cs"/>
          <w:sz w:val="40"/>
          <w:szCs w:val="40"/>
          <w:rtl/>
        </w:rPr>
        <w:t>2005</w:t>
      </w:r>
      <w:r w:rsidRPr="002615DA">
        <w:rPr>
          <w:sz w:val="40"/>
          <w:szCs w:val="40"/>
          <w:rtl/>
        </w:rPr>
        <w:t>.</w:t>
      </w:r>
    </w:p>
    <w:p w14:paraId="48458872" w14:textId="619A2F5C" w:rsidR="00605301" w:rsidRPr="002615DA" w:rsidRDefault="00605301" w:rsidP="00C85A74">
      <w:pPr>
        <w:rPr>
          <w:sz w:val="40"/>
          <w:szCs w:val="40"/>
          <w:rtl/>
        </w:rPr>
      </w:pPr>
      <w:hyperlink r:id="rId4" w:history="1">
        <w:r w:rsidRPr="00605301">
          <w:rPr>
            <w:rStyle w:val="Hyperlink"/>
            <w:rFonts w:hint="cs"/>
            <w:sz w:val="40"/>
            <w:szCs w:val="40"/>
            <w:rtl/>
          </w:rPr>
          <w:t>الملاحق</w:t>
        </w:r>
      </w:hyperlink>
    </w:p>
    <w:p w14:paraId="03E2ACAD" w14:textId="77777777" w:rsidR="00605301" w:rsidRPr="002615DA" w:rsidRDefault="00605301" w:rsidP="002615DA">
      <w:pPr>
        <w:rPr>
          <w:sz w:val="40"/>
          <w:szCs w:val="40"/>
        </w:rPr>
      </w:pPr>
    </w:p>
    <w:sectPr w:rsidR="00605301" w:rsidRPr="002615DA" w:rsidSect="00F02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DA"/>
    <w:rsid w:val="001C2426"/>
    <w:rsid w:val="002615DA"/>
    <w:rsid w:val="00605301"/>
    <w:rsid w:val="009744FE"/>
    <w:rsid w:val="00C85A74"/>
    <w:rsid w:val="00ED01F2"/>
    <w:rsid w:val="00F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A14E"/>
  <w15:chartTrackingRefBased/>
  <w15:docId w15:val="{5F997705-9009-461F-9B2F-7A4B4A7E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301"/>
    <w:rPr>
      <w:color w:val="0563C1" w:themeColor="hyperlink"/>
      <w:u w:val="single"/>
    </w:rPr>
  </w:style>
  <w:style w:type="character" w:styleId="UnresolvedMention">
    <w:name w:val="Unresolved Mention"/>
    <w:basedOn w:val="DefaultParagraphFont"/>
    <w:uiPriority w:val="99"/>
    <w:semiHidden/>
    <w:unhideWhenUsed/>
    <w:rsid w:val="00605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160">
      <w:bodyDiv w:val="1"/>
      <w:marLeft w:val="0"/>
      <w:marRight w:val="0"/>
      <w:marTop w:val="0"/>
      <w:marBottom w:val="0"/>
      <w:divBdr>
        <w:top w:val="none" w:sz="0" w:space="0" w:color="auto"/>
        <w:left w:val="none" w:sz="0" w:space="0" w:color="auto"/>
        <w:bottom w:val="none" w:sz="0" w:space="0" w:color="auto"/>
        <w:right w:val="none" w:sz="0" w:space="0" w:color="auto"/>
      </w:divBdr>
      <w:divsChild>
        <w:div w:id="621309730">
          <w:marLeft w:val="0"/>
          <w:marRight w:val="0"/>
          <w:marTop w:val="0"/>
          <w:marBottom w:val="0"/>
          <w:divBdr>
            <w:top w:val="single" w:sz="2" w:space="0" w:color="auto"/>
            <w:left w:val="single" w:sz="2" w:space="0" w:color="auto"/>
            <w:bottom w:val="single" w:sz="2" w:space="0" w:color="auto"/>
            <w:right w:val="single" w:sz="2" w:space="0" w:color="auto"/>
          </w:divBdr>
        </w:div>
        <w:div w:id="297540550">
          <w:marLeft w:val="0"/>
          <w:marRight w:val="0"/>
          <w:marTop w:val="0"/>
          <w:marBottom w:val="0"/>
          <w:divBdr>
            <w:top w:val="single" w:sz="2" w:space="0" w:color="auto"/>
            <w:left w:val="single" w:sz="2" w:space="0" w:color="auto"/>
            <w:bottom w:val="single" w:sz="2" w:space="0" w:color="auto"/>
            <w:right w:val="single" w:sz="2" w:space="0" w:color="auto"/>
          </w:divBdr>
        </w:div>
        <w:div w:id="32193211">
          <w:marLeft w:val="0"/>
          <w:marRight w:val="0"/>
          <w:marTop w:val="0"/>
          <w:marBottom w:val="0"/>
          <w:divBdr>
            <w:top w:val="single" w:sz="2" w:space="0" w:color="auto"/>
            <w:left w:val="single" w:sz="2" w:space="0" w:color="auto"/>
            <w:bottom w:val="single" w:sz="2" w:space="0" w:color="auto"/>
            <w:right w:val="single" w:sz="2" w:space="0" w:color="auto"/>
          </w:divBdr>
        </w:div>
        <w:div w:id="656567641">
          <w:marLeft w:val="0"/>
          <w:marRight w:val="0"/>
          <w:marTop w:val="0"/>
          <w:marBottom w:val="0"/>
          <w:divBdr>
            <w:top w:val="single" w:sz="2" w:space="0" w:color="auto"/>
            <w:left w:val="single" w:sz="2" w:space="0" w:color="auto"/>
            <w:bottom w:val="single" w:sz="2" w:space="0" w:color="auto"/>
            <w:right w:val="single" w:sz="2" w:space="0" w:color="auto"/>
          </w:divBdr>
        </w:div>
        <w:div w:id="383410620">
          <w:marLeft w:val="0"/>
          <w:marRight w:val="0"/>
          <w:marTop w:val="0"/>
          <w:marBottom w:val="0"/>
          <w:divBdr>
            <w:top w:val="single" w:sz="2" w:space="0" w:color="auto"/>
            <w:left w:val="single" w:sz="2" w:space="0" w:color="auto"/>
            <w:bottom w:val="single" w:sz="2" w:space="0" w:color="auto"/>
            <w:right w:val="single" w:sz="2" w:space="0" w:color="auto"/>
          </w:divBdr>
        </w:div>
        <w:div w:id="336420833">
          <w:marLeft w:val="0"/>
          <w:marRight w:val="0"/>
          <w:marTop w:val="0"/>
          <w:marBottom w:val="0"/>
          <w:divBdr>
            <w:top w:val="single" w:sz="2" w:space="0" w:color="auto"/>
            <w:left w:val="single" w:sz="2" w:space="0" w:color="auto"/>
            <w:bottom w:val="single" w:sz="2" w:space="0" w:color="auto"/>
            <w:right w:val="single" w:sz="2" w:space="0" w:color="auto"/>
          </w:divBdr>
        </w:div>
        <w:div w:id="1504903459">
          <w:marLeft w:val="0"/>
          <w:marRight w:val="0"/>
          <w:marTop w:val="0"/>
          <w:marBottom w:val="0"/>
          <w:divBdr>
            <w:top w:val="single" w:sz="2" w:space="0" w:color="auto"/>
            <w:left w:val="single" w:sz="2" w:space="0" w:color="auto"/>
            <w:bottom w:val="single" w:sz="2" w:space="0" w:color="auto"/>
            <w:right w:val="single" w:sz="2" w:space="0" w:color="auto"/>
          </w:divBdr>
        </w:div>
        <w:div w:id="580606666">
          <w:marLeft w:val="0"/>
          <w:marRight w:val="0"/>
          <w:marTop w:val="0"/>
          <w:marBottom w:val="0"/>
          <w:divBdr>
            <w:top w:val="single" w:sz="2" w:space="0" w:color="auto"/>
            <w:left w:val="single" w:sz="2" w:space="0" w:color="auto"/>
            <w:bottom w:val="single" w:sz="2" w:space="0" w:color="auto"/>
            <w:right w:val="single" w:sz="2" w:space="0" w:color="auto"/>
          </w:divBdr>
        </w:div>
        <w:div w:id="724765632">
          <w:marLeft w:val="0"/>
          <w:marRight w:val="0"/>
          <w:marTop w:val="0"/>
          <w:marBottom w:val="0"/>
          <w:divBdr>
            <w:top w:val="single" w:sz="2" w:space="0" w:color="auto"/>
            <w:left w:val="single" w:sz="2" w:space="0" w:color="auto"/>
            <w:bottom w:val="single" w:sz="2" w:space="0" w:color="auto"/>
            <w:right w:val="single" w:sz="2" w:space="0" w:color="auto"/>
          </w:divBdr>
        </w:div>
        <w:div w:id="1579973531">
          <w:marLeft w:val="0"/>
          <w:marRight w:val="0"/>
          <w:marTop w:val="0"/>
          <w:marBottom w:val="0"/>
          <w:divBdr>
            <w:top w:val="single" w:sz="2" w:space="0" w:color="auto"/>
            <w:left w:val="single" w:sz="2" w:space="0" w:color="auto"/>
            <w:bottom w:val="single" w:sz="2" w:space="0" w:color="auto"/>
            <w:right w:val="single" w:sz="2" w:space="0" w:color="auto"/>
          </w:divBdr>
        </w:div>
        <w:div w:id="425467709">
          <w:marLeft w:val="0"/>
          <w:marRight w:val="0"/>
          <w:marTop w:val="0"/>
          <w:marBottom w:val="0"/>
          <w:divBdr>
            <w:top w:val="single" w:sz="2" w:space="0" w:color="auto"/>
            <w:left w:val="single" w:sz="2" w:space="0" w:color="auto"/>
            <w:bottom w:val="single" w:sz="2" w:space="0" w:color="auto"/>
            <w:right w:val="single" w:sz="2" w:space="0" w:color="auto"/>
          </w:divBdr>
        </w:div>
        <w:div w:id="1839079286">
          <w:marLeft w:val="0"/>
          <w:marRight w:val="0"/>
          <w:marTop w:val="0"/>
          <w:marBottom w:val="0"/>
          <w:divBdr>
            <w:top w:val="single" w:sz="2" w:space="0" w:color="auto"/>
            <w:left w:val="single" w:sz="2" w:space="0" w:color="auto"/>
            <w:bottom w:val="single" w:sz="2" w:space="0" w:color="auto"/>
            <w:right w:val="single" w:sz="2" w:space="0" w:color="auto"/>
          </w:divBdr>
        </w:div>
        <w:div w:id="149293245">
          <w:marLeft w:val="0"/>
          <w:marRight w:val="0"/>
          <w:marTop w:val="0"/>
          <w:marBottom w:val="0"/>
          <w:divBdr>
            <w:top w:val="single" w:sz="2" w:space="0" w:color="auto"/>
            <w:left w:val="single" w:sz="2" w:space="0" w:color="auto"/>
            <w:bottom w:val="single" w:sz="2" w:space="0" w:color="auto"/>
            <w:right w:val="single" w:sz="2" w:space="0" w:color="auto"/>
          </w:divBdr>
        </w:div>
        <w:div w:id="972176799">
          <w:marLeft w:val="0"/>
          <w:marRight w:val="0"/>
          <w:marTop w:val="0"/>
          <w:marBottom w:val="0"/>
          <w:divBdr>
            <w:top w:val="single" w:sz="2" w:space="0" w:color="auto"/>
            <w:left w:val="single" w:sz="2" w:space="0" w:color="auto"/>
            <w:bottom w:val="single" w:sz="2" w:space="0" w:color="auto"/>
            <w:right w:val="single" w:sz="2" w:space="0" w:color="auto"/>
          </w:divBdr>
        </w:div>
        <w:div w:id="472453987">
          <w:marLeft w:val="0"/>
          <w:marRight w:val="0"/>
          <w:marTop w:val="0"/>
          <w:marBottom w:val="0"/>
          <w:divBdr>
            <w:top w:val="single" w:sz="2" w:space="0" w:color="auto"/>
            <w:left w:val="single" w:sz="2" w:space="0" w:color="auto"/>
            <w:bottom w:val="single" w:sz="2" w:space="0" w:color="auto"/>
            <w:right w:val="single" w:sz="2" w:space="0" w:color="auto"/>
          </w:divBdr>
        </w:div>
        <w:div w:id="1190609338">
          <w:marLeft w:val="0"/>
          <w:marRight w:val="0"/>
          <w:marTop w:val="0"/>
          <w:marBottom w:val="0"/>
          <w:divBdr>
            <w:top w:val="single" w:sz="2" w:space="0" w:color="auto"/>
            <w:left w:val="single" w:sz="2" w:space="0" w:color="auto"/>
            <w:bottom w:val="single" w:sz="2" w:space="0" w:color="auto"/>
            <w:right w:val="single" w:sz="2" w:space="0" w:color="auto"/>
          </w:divBdr>
        </w:div>
        <w:div w:id="203517293">
          <w:marLeft w:val="0"/>
          <w:marRight w:val="0"/>
          <w:marTop w:val="0"/>
          <w:marBottom w:val="0"/>
          <w:divBdr>
            <w:top w:val="single" w:sz="2" w:space="0" w:color="auto"/>
            <w:left w:val="single" w:sz="2" w:space="0" w:color="auto"/>
            <w:bottom w:val="single" w:sz="2" w:space="0" w:color="auto"/>
            <w:right w:val="single" w:sz="2" w:space="0" w:color="auto"/>
          </w:divBdr>
        </w:div>
        <w:div w:id="51179514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sc.gov.jo/Uploads/Files/6-%20%20&#1578;&#1593;&#1605;&#1610;&#1605;%20&#1575;&#1604;&#1605;&#1604;&#1575;&#1569;&#1577;%20&#1575;&#1604;&#1570;&#1604;&#1610;&#1577;%2019-04-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Hammadneh</dc:creator>
  <cp:keywords/>
  <dc:description/>
  <cp:lastModifiedBy>Hussain Hammadneh</cp:lastModifiedBy>
  <cp:revision>2</cp:revision>
  <dcterms:created xsi:type="dcterms:W3CDTF">2024-09-25T10:44:00Z</dcterms:created>
  <dcterms:modified xsi:type="dcterms:W3CDTF">2024-09-25T10:59:00Z</dcterms:modified>
</cp:coreProperties>
</file>